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36"/>
          <w:szCs w:val="36"/>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36"/>
          <w:szCs w:val="36"/>
          <w:u w:val="none"/>
          <w:shd w:fill="auto" w:val="clear"/>
          <w:vertAlign w:val="baseline"/>
          <w:rtl w:val="0"/>
        </w:rPr>
        <w:t xml:space="preserve">JASPA</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4939665</wp:posOffset>
                </wp:positionH>
                <wp:positionV relativeFrom="paragraph">
                  <wp:posOffset>-258444</wp:posOffset>
                </wp:positionV>
                <wp:extent cx="763270" cy="875665"/>
                <wp:wrapNone/>
                <wp:docPr id="1037" name=""/>
                <a:graphic>
                  <a:graphicData uri="http://schemas.microsoft.com/office/word/2010/wordprocessingShape">
                    <wps:wsp>
                      <wps:cNvSpPr txBox="1"/>
                      <wps:spPr>
                        <a:xfrm>
                          <a:off x="0" y="0"/>
                          <a:ext cx="763270" cy="875665"/>
                        </a:xfrm>
                        <a:prstGeom prst="rect"/>
                        <a:solidFill>
                          <a:srgbClr val="FFFFFF"/>
                        </a:solidFill>
                        <a:ln cap="flat" cmpd="sng" w="9525" algn="ctr">
                          <a:noFill/>
                          <a:miter lim="800000"/>
                          <a:headEnd/>
                          <a:tailEnd/>
                        </a:ln>
                      </wps:spPr>
                      <wps:txbx>
                        <w:txbxContent>
                          <w:p w:rsidR="00000000" w:rsidDel="00000000" w:rsidP="00000000" w:rsidRDefault="00000000" w:rsidRPr="00000000">
                            <w:pPr>
                              <w:pStyle w:val="Normal"/>
                              <w:suppressAutoHyphens w:val="1"/>
                              <w:spacing w:line="1" w:lineRule="atLeast"/>
                              <w:ind w:leftChars="-1" w:rightChars="0" w:firstLineChars="-1"/>
                              <w:textDirection w:val="btLr"/>
                              <w:textAlignment w:val="top"/>
                              <w:outlineLvl w:val="0"/>
                              <w:rPr>
                                <w:w w:val="100"/>
                                <w:position w:val="-1"/>
                                <w:effect w:val="none"/>
                                <w:vertAlign w:val="baseline"/>
                                <w:cs w:val="0"/>
                                <w:em w:val="none"/>
                                <w:lang/>
                              </w:rPr>
                            </w:pPr>
                            <w:r w:rsidDel="000000-1" w:rsidR="07683769" w:rsidRPr="07683769">
                              <w:rPr>
                                <w:w w:val="100"/>
                                <w:position w:val="-1"/>
                                <w:effect w:val="none"/>
                                <w:vertAlign w:val="baseline"/>
                                <w:cs w:val="0"/>
                                <w:em w:val="none"/>
                                <w:lang/>
                                <w:specVanish w:val="1"/>
                              </w:rPr>
                              <w:drawing>
                                <wp:inline distB="0" distT="0" distL="114300" distR="114300">
                                  <wp:extent cx="580390" cy="913130"/>
                                  <wp:effectExtent b="0" l="0" r="0" t="0"/>
                                  <wp:docPr id="1036" name=""/>
                                  <a:graphic>
                                    <a:graphicData uri="http://schemas.openxmlformats.org/drawingml/2006/picture">
                                      <pic:pic>
                                        <pic:nvPicPr>
                                          <pic:cNvPr id="1036" name=""/>
                                          <pic:cNvPicPr/>
                                        </pic:nvPicPr>
                                        <pic:blipFill>
                                          <a:blip r:embed="rId1"/>
                                          <a:srcRect/>
                                          <a:stretch>
                                            <a:fillRect/>
                                          </a:stretch>
                                        </pic:blipFill>
                                        <pic:spPr bwMode="clr">
                                          <a:xfrm>
                                            <a:ext cx="580390" cy="913130"/>
                                          </a:xfrm>
                                          <a:prstGeom prst="rect">
                                            <a:avLst/>
                                          </a:prstGeom>
                                          <a:noFill/>
                                          <a:ln cap="rnd" cmpd="sng" w="9525" algn="ctr">
                                            <a:noFill/>
                                            <a:miter lim="800000"/>
                                            <a:headEnd/>
                                            <a:tailEnd/>
                                          </a:ln>
                                        </pic:spPr>
                                      </pic:pic>
                                    </a:graphicData>
                                  </a:graphic>
                                </wp:inline>
                              </w:drawing>
                            </w:r>
                            <w:r w:rsidDel="000000-1" w:rsidR="07683769" w:rsidRPr="000000-1">
                              <w:rPr>
                                <w:w w:val="100"/>
                                <w:position w:val="-1"/>
                                <w:effect w:val="none"/>
                                <w:vertAlign w:val="baseline"/>
                                <w:cs w:val="0"/>
                                <w:em w:val="none"/>
                                <w:lang/>
                              </w:rPr>
                            </w:r>
                          </w:p>
                          <w:p w:rsidR="00000000" w:rsidDel="00000000" w:rsidP="00000000" w:rsidRDefault="00000000" w:rsidRPr="00000000">
                            <w:pPr>
                              <w:pStyle w:val="Normal"/>
                              <w:suppressAutoHyphens w:val="1"/>
                              <w:spacing w:line="1" w:lineRule="atLeast"/>
                              <w:ind w:leftChars="-1" w:rightChars="0" w:firstLineChars="-1"/>
                              <w:textDirection w:val="btLr"/>
                              <w:textAlignment w:val="top"/>
                              <w:outlineLvl w:val="0"/>
                              <w:rPr>
                                <w:w w:val="100"/>
                                <w:position w:val="-1"/>
                                <w:effect w:val="none"/>
                                <w:vertAlign w:val="baseline"/>
                                <w:cs w:val="0"/>
                                <w:em w:val="none"/>
                                <w:lang/>
                              </w:rPr>
                            </w:pPr>
                            <w:r w:rsidDel="000000-1" w:rsidR="07683769" w:rsidRPr="000000-1">
                              <w:rPr>
                                <w:w w:val="100"/>
                                <w:position w:val="-1"/>
                                <w:effect w:val="none"/>
                                <w:vertAlign w:val="baseline"/>
                                <w:cs w:val="0"/>
                                <w:em w:val="none"/>
                                <w:lang/>
                              </w:rPr>
                            </w:r>
                          </w:p>
                        </w:txbxContent>
                      </wps:txbx>
                      <wps:bodyPr/>
                    </wps:wsp>
                  </a:graphicData>
                </a:graphic>
              </wp:anchor>
            </w:drawing>
          </mc:Choice>
          <mc:Fallback>
            <w:drawing>
              <wp:anchor allowOverlap="1" behindDoc="0" distB="0" distT="0" distL="114300" distR="114300" hidden="0" layoutInCell="1" locked="0" relativeHeight="0" simplePos="0">
                <wp:simplePos x="0" y="0"/>
                <wp:positionH relativeFrom="column">
                  <wp:posOffset>4939665</wp:posOffset>
                </wp:positionH>
                <wp:positionV relativeFrom="paragraph">
                  <wp:posOffset>-258444</wp:posOffset>
                </wp:positionV>
                <wp:extent cx="763270" cy="875665"/>
                <wp:effectExtent b="0" l="0" r="0" t="0"/>
                <wp:wrapNone/>
                <wp:docPr id="103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763270" cy="875665"/>
                        </a:xfrm>
                        <a:prstGeom prst="rect"/>
                        <a:ln/>
                      </pic:spPr>
                    </pic:pic>
                  </a:graphicData>
                </a:graphic>
              </wp:anchor>
            </w:drawing>
          </mc:Fallback>
        </mc:AlternateConten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Trebuchet MS" w:cs="Trebuchet MS" w:eastAsia="Trebuchet MS" w:hAnsi="Trebuchet MS"/>
          <w:b w:val="0"/>
          <w:i w:val="0"/>
          <w:smallCaps w:val="0"/>
          <w:strike w:val="0"/>
          <w:color w:val="000000"/>
          <w:sz w:val="32"/>
          <w:szCs w:val="3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32"/>
          <w:szCs w:val="32"/>
          <w:u w:val="none"/>
          <w:shd w:fill="auto" w:val="clear"/>
          <w:vertAlign w:val="baseline"/>
          <w:rtl w:val="0"/>
        </w:rPr>
        <w:t xml:space="preserve">Manual Handling Policy</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Manual handling is one of the major causes of absence through injury in the workplace. At JASPA we work with our staff, provide training, and undertake risk assessments in order to eliminate hazardous manual handling activities as far as possible.</w:t>
      </w:r>
    </w:p>
    <w:p w:rsidR="00000000" w:rsidDel="00000000" w:rsidP="00000000" w:rsidRDefault="00000000" w:rsidRPr="00000000" w14:paraId="00000004">
      <w:pPr>
        <w:spacing w:after="0" w:line="240" w:lineRule="auto"/>
        <w:rPr>
          <w:rFonts w:ascii="Trebuchet MS" w:cs="Trebuchet MS" w:eastAsia="Trebuchet MS" w:hAnsi="Trebuchet MS"/>
          <w:vertAlign w:val="baseline"/>
        </w:rPr>
      </w:pPr>
      <w:r w:rsidDel="00000000" w:rsidR="00000000" w:rsidRPr="00000000">
        <w:rPr>
          <w:rFonts w:ascii="Trebuchet MS" w:cs="Trebuchet MS" w:eastAsia="Trebuchet MS" w:hAnsi="Trebuchet MS"/>
          <w:vertAlign w:val="baseline"/>
          <w:rtl w:val="0"/>
        </w:rPr>
        <w:t xml:space="preserve">This policy is written with reference to the </w:t>
      </w:r>
      <w:r w:rsidDel="00000000" w:rsidR="00000000" w:rsidRPr="00000000">
        <w:rPr>
          <w:rFonts w:ascii="Trebuchet MS" w:cs="Trebuchet MS" w:eastAsia="Trebuchet MS" w:hAnsi="Trebuchet MS"/>
          <w:i w:val="1"/>
          <w:vertAlign w:val="baseline"/>
          <w:rtl w:val="0"/>
        </w:rPr>
        <w:t xml:space="preserve">Health and Safety at Work Act 1974</w:t>
      </w:r>
      <w:r w:rsidDel="00000000" w:rsidR="00000000" w:rsidRPr="00000000">
        <w:rPr>
          <w:rFonts w:ascii="Trebuchet MS" w:cs="Trebuchet MS" w:eastAsia="Trebuchet MS" w:hAnsi="Trebuchet MS"/>
          <w:vertAlign w:val="baseline"/>
          <w:rtl w:val="0"/>
        </w:rPr>
        <w:t xml:space="preserve">, which places a duty on employers “to ensure so far as is reasonably practicable, the health, safety and welfare of its employees”, and to the </w:t>
      </w:r>
      <w:r w:rsidDel="00000000" w:rsidR="00000000" w:rsidRPr="00000000">
        <w:rPr>
          <w:rFonts w:ascii="Trebuchet MS" w:cs="Trebuchet MS" w:eastAsia="Trebuchet MS" w:hAnsi="Trebuchet MS"/>
          <w:i w:val="1"/>
          <w:vertAlign w:val="baseline"/>
          <w:rtl w:val="0"/>
        </w:rPr>
        <w:t xml:space="preserve">Manual Handling Operations Regulations 1992 (as amended)</w:t>
      </w:r>
      <w:r w:rsidDel="00000000" w:rsidR="00000000" w:rsidRPr="00000000">
        <w:rPr>
          <w:rFonts w:ascii="Trebuchet MS" w:cs="Trebuchet MS" w:eastAsia="Trebuchet MS" w:hAnsi="Trebuchet MS"/>
          <w:vertAlign w:val="baseline"/>
          <w:rtl w:val="0"/>
        </w:rPr>
        <w:t xml:space="preserv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Procedure</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In order to limit the risk of injury from manual handling operations, JASPA will:</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357" w:right="0" w:hanging="357"/>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Eliminate hazardous manual handling activities, as far as is reasonably practicable</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40" w:line="240" w:lineRule="auto"/>
        <w:ind w:left="357" w:right="0" w:hanging="357"/>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 the risks associated with any manual handling activities that cannot be avoided.</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purpose of the risk assessment is to reduce the risk of injury to the lowest possible levels, and should consider:</w:t>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120" w:line="240" w:lineRule="auto"/>
        <w:ind w:left="284" w:right="0" w:hanging="284"/>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task</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0" w:line="240" w:lineRule="auto"/>
        <w:ind w:left="284" w:right="0" w:hanging="284"/>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load</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0" w:line="240" w:lineRule="auto"/>
        <w:ind w:left="284" w:right="0" w:hanging="284"/>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individual undertaking the task</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0" w:line="240" w:lineRule="auto"/>
        <w:ind w:left="284" w:right="0" w:hanging="284"/>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working environment.</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main manual handling hazard at JASPA is likely to be the setting-up and clearing-away of equipment. This is unavoidable, but staff should carry out the operation with reference to the guidance given in the manual handling training that we provide. It may be necessary to seek the assistance of an additional member of staff in order to minimise the risk of injury, for example when carrying tables and other heavy or bulky items.</w:t>
      </w:r>
    </w:p>
    <w:p w:rsidR="00000000" w:rsidDel="00000000" w:rsidP="00000000" w:rsidRDefault="00000000" w:rsidRPr="00000000" w14:paraId="0000000F">
      <w:pPr>
        <w:spacing w:after="120" w:before="240" w:lineRule="auto"/>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Employee’s duties</w:t>
      </w:r>
      <w:r w:rsidDel="00000000" w:rsidR="00000000" w:rsidRPr="00000000">
        <w:rPr>
          <w:rtl w:val="0"/>
        </w:rPr>
      </w:r>
    </w:p>
    <w:p w:rsidR="00000000" w:rsidDel="00000000" w:rsidP="00000000" w:rsidRDefault="00000000" w:rsidRPr="00000000" w14:paraId="00000010">
      <w:pPr>
        <w:spacing w:after="0" w:lineRule="auto"/>
        <w:rPr>
          <w:rFonts w:ascii="Trebuchet MS" w:cs="Trebuchet MS" w:eastAsia="Trebuchet MS" w:hAnsi="Trebuchet MS"/>
          <w:vertAlign w:val="baseline"/>
        </w:rPr>
      </w:pPr>
      <w:r w:rsidDel="00000000" w:rsidR="00000000" w:rsidRPr="00000000">
        <w:rPr>
          <w:rFonts w:ascii="Trebuchet MS" w:cs="Trebuchet MS" w:eastAsia="Trebuchet MS" w:hAnsi="Trebuchet MS"/>
          <w:vertAlign w:val="baseline"/>
          <w:rtl w:val="0"/>
        </w:rPr>
        <w:t xml:space="preserve">It is the responsibility of all staff at JASPA to:</w:t>
      </w:r>
    </w:p>
    <w:p w:rsidR="00000000" w:rsidDel="00000000" w:rsidP="00000000" w:rsidRDefault="00000000" w:rsidRPr="00000000" w14:paraId="000000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276" w:lineRule="auto"/>
        <w:ind w:left="357" w:right="0" w:hanging="357"/>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Comply with any instructions and training provided in safe manual handling techniques</w:t>
      </w:r>
    </w:p>
    <w:p w:rsidR="00000000" w:rsidDel="00000000" w:rsidP="00000000" w:rsidRDefault="00000000" w:rsidRPr="00000000" w14:paraId="0000001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Not put their own health and safety or that of others at risk by carrying out unsafe manual handling activities</w:t>
      </w:r>
    </w:p>
    <w:p w:rsidR="00000000" w:rsidDel="00000000" w:rsidP="00000000" w:rsidRDefault="00000000" w:rsidRPr="00000000" w14:paraId="000000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Report to the Manager any problems which may affect their ability to undertake manual handling activities, including physical and medical conditions (eg pregnancy, back problems).</w:t>
      </w:r>
    </w:p>
    <w:p w:rsidR="00000000" w:rsidDel="00000000" w:rsidP="00000000" w:rsidRDefault="00000000" w:rsidRPr="00000000" w14:paraId="00000014">
      <w:pPr>
        <w:spacing w:after="120" w:before="240" w:lineRule="auto"/>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In summary</w:t>
      </w:r>
      <w:r w:rsidDel="00000000" w:rsidR="00000000" w:rsidRPr="00000000">
        <w:rPr>
          <w:rtl w:val="0"/>
        </w:rPr>
      </w:r>
    </w:p>
    <w:p w:rsidR="00000000" w:rsidDel="00000000" w:rsidP="00000000" w:rsidRDefault="00000000" w:rsidRPr="00000000" w14:paraId="00000015">
      <w:pPr>
        <w:tabs>
          <w:tab w:val="left" w:leader="none" w:pos="1101"/>
        </w:tabs>
        <w:spacing w:after="40" w:before="120" w:line="240" w:lineRule="auto"/>
        <w:rPr>
          <w:rFonts w:ascii="Trebuchet MS" w:cs="Trebuchet MS" w:eastAsia="Trebuchet MS" w:hAnsi="Trebuchet MS"/>
          <w:vertAlign w:val="baseline"/>
        </w:rPr>
      </w:pPr>
      <w:r w:rsidDel="00000000" w:rsidR="00000000" w:rsidRPr="00000000">
        <w:rPr>
          <w:rFonts w:ascii="Trebuchet MS" w:cs="Trebuchet MS" w:eastAsia="Trebuchet MS" w:hAnsi="Trebuchet MS"/>
          <w:b w:val="1"/>
          <w:vertAlign w:val="baseline"/>
          <w:rtl w:val="0"/>
        </w:rPr>
        <w:t xml:space="preserve">Avoid</w:t>
      </w:r>
      <w:r w:rsidDel="00000000" w:rsidR="00000000" w:rsidRPr="00000000">
        <w:rPr>
          <w:rFonts w:ascii="Trebuchet MS" w:cs="Trebuchet MS" w:eastAsia="Trebuchet MS" w:hAnsi="Trebuchet MS"/>
          <w:vertAlign w:val="baseline"/>
          <w:rtl w:val="0"/>
        </w:rPr>
        <w:tab/>
        <w:t xml:space="preserve">Whenever possible, avoid manual handling situations.</w:t>
      </w:r>
    </w:p>
    <w:p w:rsidR="00000000" w:rsidDel="00000000" w:rsidP="00000000" w:rsidRDefault="00000000" w:rsidRPr="00000000" w14:paraId="00000016">
      <w:pPr>
        <w:tabs>
          <w:tab w:val="left" w:leader="none" w:pos="1101"/>
        </w:tabs>
        <w:spacing w:after="40" w:line="240" w:lineRule="auto"/>
        <w:rPr>
          <w:rFonts w:ascii="Trebuchet MS" w:cs="Trebuchet MS" w:eastAsia="Trebuchet MS" w:hAnsi="Trebuchet MS"/>
          <w:vertAlign w:val="baseline"/>
        </w:rPr>
      </w:pPr>
      <w:r w:rsidDel="00000000" w:rsidR="00000000" w:rsidRPr="00000000">
        <w:rPr>
          <w:rFonts w:ascii="Trebuchet MS" w:cs="Trebuchet MS" w:eastAsia="Trebuchet MS" w:hAnsi="Trebuchet MS"/>
          <w:b w:val="1"/>
          <w:vertAlign w:val="baseline"/>
          <w:rtl w:val="0"/>
        </w:rPr>
        <w:t xml:space="preserve">Assess</w:t>
      </w:r>
      <w:r w:rsidDel="00000000" w:rsidR="00000000" w:rsidRPr="00000000">
        <w:rPr>
          <w:rFonts w:ascii="Trebuchet MS" w:cs="Trebuchet MS" w:eastAsia="Trebuchet MS" w:hAnsi="Trebuchet MS"/>
          <w:vertAlign w:val="baseline"/>
          <w:rtl w:val="0"/>
        </w:rPr>
        <w:tab/>
        <w:t xml:space="preserve">If avoidance is not possible, make a proper assessment of the hazard and risks.</w:t>
      </w:r>
    </w:p>
    <w:p w:rsidR="00000000" w:rsidDel="00000000" w:rsidP="00000000" w:rsidRDefault="00000000" w:rsidRPr="00000000" w14:paraId="00000017">
      <w:pPr>
        <w:tabs>
          <w:tab w:val="left" w:leader="none" w:pos="1101"/>
        </w:tabs>
        <w:spacing w:after="40" w:line="240" w:lineRule="auto"/>
        <w:ind w:left="1095" w:hanging="1095"/>
        <w:rPr>
          <w:rFonts w:ascii="Trebuchet MS" w:cs="Trebuchet MS" w:eastAsia="Trebuchet MS" w:hAnsi="Trebuchet MS"/>
          <w:vertAlign w:val="baseline"/>
        </w:rPr>
      </w:pPr>
      <w:r w:rsidDel="00000000" w:rsidR="00000000" w:rsidRPr="00000000">
        <w:rPr>
          <w:rFonts w:ascii="Trebuchet MS" w:cs="Trebuchet MS" w:eastAsia="Trebuchet MS" w:hAnsi="Trebuchet MS"/>
          <w:b w:val="1"/>
          <w:vertAlign w:val="baseline"/>
          <w:rtl w:val="0"/>
        </w:rPr>
        <w:t xml:space="preserve">Reduce</w:t>
      </w:r>
      <w:r w:rsidDel="00000000" w:rsidR="00000000" w:rsidRPr="00000000">
        <w:rPr>
          <w:rFonts w:ascii="Trebuchet MS" w:cs="Trebuchet MS" w:eastAsia="Trebuchet MS" w:hAnsi="Trebuchet MS"/>
          <w:vertAlign w:val="baseline"/>
          <w:rtl w:val="0"/>
        </w:rPr>
        <w:tab/>
        <w:t xml:space="preserve">Reduce the risk of injury by defining and implementing a safe system of work.</w:t>
      </w:r>
    </w:p>
    <w:p w:rsidR="00000000" w:rsidDel="00000000" w:rsidP="00000000" w:rsidRDefault="00000000" w:rsidRPr="00000000" w14:paraId="00000018">
      <w:pPr>
        <w:tabs>
          <w:tab w:val="left" w:leader="none" w:pos="1101"/>
        </w:tabs>
        <w:spacing w:after="40" w:line="240" w:lineRule="auto"/>
        <w:ind w:left="1095" w:hanging="1095"/>
        <w:rPr>
          <w:rFonts w:ascii="Trebuchet MS" w:cs="Trebuchet MS" w:eastAsia="Trebuchet MS" w:hAnsi="Trebuchet MS"/>
          <w:vertAlign w:val="baseline"/>
        </w:rPr>
      </w:pPr>
      <w:r w:rsidDel="00000000" w:rsidR="00000000" w:rsidRPr="00000000">
        <w:rPr>
          <w:rFonts w:ascii="Trebuchet MS" w:cs="Trebuchet MS" w:eastAsia="Trebuchet MS" w:hAnsi="Trebuchet MS"/>
          <w:b w:val="1"/>
          <w:vertAlign w:val="baseline"/>
          <w:rtl w:val="0"/>
        </w:rPr>
        <w:t xml:space="preserve">Review</w:t>
      </w:r>
      <w:r w:rsidDel="00000000" w:rsidR="00000000" w:rsidRPr="00000000">
        <w:rPr>
          <w:rFonts w:ascii="Trebuchet MS" w:cs="Trebuchet MS" w:eastAsia="Trebuchet MS" w:hAnsi="Trebuchet MS"/>
          <w:vertAlign w:val="baseline"/>
          <w:rtl w:val="0"/>
        </w:rPr>
        <w:tab/>
        <w:t xml:space="preserve">Review your systems regularly, to monitor the overall effectiveness of the policy</w:t>
      </w:r>
    </w:p>
    <w:p w:rsidR="00000000" w:rsidDel="00000000" w:rsidP="00000000" w:rsidRDefault="00000000" w:rsidRPr="00000000" w14:paraId="00000019">
      <w:pPr>
        <w:rPr>
          <w:rFonts w:ascii="Trebuchet MS" w:cs="Trebuchet MS" w:eastAsia="Trebuchet MS" w:hAnsi="Trebuchet MS"/>
          <w:sz w:val="12"/>
          <w:szCs w:val="12"/>
          <w:vertAlign w:val="baseline"/>
        </w:rPr>
      </w:pPr>
      <w:r w:rsidDel="00000000" w:rsidR="00000000" w:rsidRPr="00000000">
        <w:rPr>
          <w:rtl w:val="0"/>
        </w:rPr>
      </w:r>
    </w:p>
    <w:tbl>
      <w:tblPr>
        <w:tblStyle w:val="Table1"/>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53"/>
        <w:gridCol w:w="4001"/>
        <w:tblGridChange w:id="0">
          <w:tblGrid>
            <w:gridCol w:w="5853"/>
            <w:gridCol w:w="4001"/>
          </w:tblGrid>
        </w:tblGridChange>
      </w:tblGrid>
      <w:tr>
        <w:trPr>
          <w:cantSplit w:val="0"/>
          <w:trHeight w:val="466" w:hRule="atLeast"/>
          <w:tblHeader w:val="0"/>
        </w:trPr>
        <w:tc>
          <w:tcPr>
            <w:tcMar>
              <w:top w:w="113.0" w:type="dxa"/>
            </w:tcMar>
            <w:vAlign w:val="top"/>
          </w:tcPr>
          <w:p w:rsidR="00000000" w:rsidDel="00000000" w:rsidP="00000000" w:rsidRDefault="00000000" w:rsidRPr="00000000" w14:paraId="0000001A">
            <w:pPr>
              <w:rPr>
                <w:rFonts w:ascii="Trebuchet MS" w:cs="Trebuchet MS" w:eastAsia="Trebuchet MS" w:hAnsi="Trebuchet MS"/>
                <w:vertAlign w:val="baseline"/>
              </w:rPr>
            </w:pPr>
            <w:r w:rsidDel="00000000" w:rsidR="00000000" w:rsidRPr="00000000">
              <w:rPr>
                <w:rFonts w:ascii="Trebuchet MS" w:cs="Trebuchet MS" w:eastAsia="Trebuchet MS" w:hAnsi="Trebuchet MS"/>
                <w:vertAlign w:val="baseline"/>
                <w:rtl w:val="0"/>
              </w:rPr>
              <w:t xml:space="preserve">This policy was adopted by: Poulner Junior School</w:t>
            </w:r>
          </w:p>
        </w:tc>
        <w:tc>
          <w:tcPr>
            <w:tcMar>
              <w:top w:w="113.0" w:type="dxa"/>
            </w:tcMar>
            <w:vAlign w:val="top"/>
          </w:tcPr>
          <w:p w:rsidR="00000000" w:rsidDel="00000000" w:rsidP="00000000" w:rsidRDefault="00000000" w:rsidRPr="00000000" w14:paraId="0000001B">
            <w:pPr>
              <w:rPr>
                <w:rFonts w:ascii="Trebuchet MS" w:cs="Trebuchet MS" w:eastAsia="Trebuchet MS" w:hAnsi="Trebuchet MS"/>
                <w:vertAlign w:val="baseline"/>
              </w:rPr>
            </w:pPr>
            <w:r w:rsidDel="00000000" w:rsidR="00000000" w:rsidRPr="00000000">
              <w:rPr>
                <w:rFonts w:ascii="Trebuchet MS" w:cs="Trebuchet MS" w:eastAsia="Trebuchet MS" w:hAnsi="Trebuchet MS"/>
                <w:vertAlign w:val="baseline"/>
                <w:rtl w:val="0"/>
              </w:rPr>
              <w:t xml:space="preserve">Date: September 2020</w:t>
            </w:r>
          </w:p>
        </w:tc>
      </w:tr>
      <w:tr>
        <w:trPr>
          <w:cantSplit w:val="0"/>
          <w:trHeight w:val="466" w:hRule="atLeast"/>
          <w:tblHeader w:val="0"/>
        </w:trPr>
        <w:tc>
          <w:tcPr>
            <w:tcMar>
              <w:top w:w="113.0" w:type="dxa"/>
            </w:tcMar>
            <w:vAlign w:val="top"/>
          </w:tcPr>
          <w:p w:rsidR="00000000" w:rsidDel="00000000" w:rsidP="00000000" w:rsidRDefault="00000000" w:rsidRPr="00000000" w14:paraId="0000001C">
            <w:pPr>
              <w:rPr>
                <w:rFonts w:ascii="Trebuchet MS" w:cs="Trebuchet MS" w:eastAsia="Trebuchet MS" w:hAnsi="Trebuchet MS"/>
                <w:vertAlign w:val="baseline"/>
              </w:rPr>
            </w:pPr>
            <w:r w:rsidDel="00000000" w:rsidR="00000000" w:rsidRPr="00000000">
              <w:rPr>
                <w:rFonts w:ascii="Trebuchet MS" w:cs="Trebuchet MS" w:eastAsia="Trebuchet MS" w:hAnsi="Trebuchet MS"/>
                <w:rtl w:val="0"/>
              </w:rPr>
              <w:t xml:space="preserve">Policy to be reviewed and updated: August 2024</w:t>
            </w:r>
            <w:r w:rsidDel="00000000" w:rsidR="00000000" w:rsidRPr="00000000">
              <w:rPr>
                <w:rtl w:val="0"/>
              </w:rPr>
            </w:r>
          </w:p>
        </w:tc>
        <w:tc>
          <w:tcPr>
            <w:tcMar>
              <w:top w:w="113.0" w:type="dxa"/>
            </w:tcMar>
            <w:vAlign w:val="top"/>
          </w:tcPr>
          <w:p w:rsidR="00000000" w:rsidDel="00000000" w:rsidP="00000000" w:rsidRDefault="00000000" w:rsidRPr="00000000" w14:paraId="0000001D">
            <w:pPr>
              <w:rPr>
                <w:rFonts w:ascii="Trebuchet MS" w:cs="Trebuchet MS" w:eastAsia="Trebuchet MS" w:hAnsi="Trebuchet MS"/>
                <w:vertAlign w:val="baseline"/>
              </w:rPr>
            </w:pPr>
            <w:r w:rsidDel="00000000" w:rsidR="00000000" w:rsidRPr="00000000">
              <w:rPr>
                <w:rtl w:val="0"/>
              </w:rPr>
            </w:r>
          </w:p>
        </w:tc>
      </w:tr>
      <w:tr>
        <w:trPr>
          <w:cantSplit w:val="0"/>
          <w:trHeight w:val="455" w:hRule="atLeast"/>
          <w:tblHeader w:val="0"/>
        </w:trPr>
        <w:tc>
          <w:tcPr>
            <w:tcMar>
              <w:top w:w="113.0" w:type="dxa"/>
            </w:tcMar>
            <w:vAlign w:val="top"/>
          </w:tcPr>
          <w:p w:rsidR="00000000" w:rsidDel="00000000" w:rsidP="00000000" w:rsidRDefault="00000000" w:rsidRPr="00000000" w14:paraId="0000001E">
            <w:pPr>
              <w:rPr>
                <w:rFonts w:ascii="Trebuchet MS" w:cs="Trebuchet MS" w:eastAsia="Trebuchet MS" w:hAnsi="Trebuchet MS"/>
                <w:vertAlign w:val="baseline"/>
              </w:rPr>
            </w:pPr>
            <w:r w:rsidDel="00000000" w:rsidR="00000000" w:rsidRPr="00000000">
              <w:rPr>
                <w:rFonts w:ascii="Trebuchet MS" w:cs="Trebuchet MS" w:eastAsia="Trebuchet MS" w:hAnsi="Trebuchet MS"/>
                <w:vertAlign w:val="baseline"/>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Mar>
              <w:top w:w="113.0" w:type="dxa"/>
            </w:tcMar>
            <w:vAlign w:val="top"/>
          </w:tcPr>
          <w:p w:rsidR="00000000" w:rsidDel="00000000" w:rsidP="00000000" w:rsidRDefault="00000000" w:rsidRPr="00000000" w14:paraId="0000001F">
            <w:pPr>
              <w:rPr>
                <w:rFonts w:ascii="Trebuchet MS" w:cs="Trebuchet MS" w:eastAsia="Trebuchet MS" w:hAnsi="Trebuchet MS"/>
                <w:vertAlign w:val="baseline"/>
              </w:rPr>
            </w:pPr>
            <w:r w:rsidDel="00000000" w:rsidR="00000000" w:rsidRPr="00000000">
              <w:rPr>
                <w:rFonts w:ascii="Trebuchet MS" w:cs="Trebuchet MS" w:eastAsia="Trebuchet MS" w:hAnsi="Trebuchet MS"/>
                <w:vertAlign w:val="baseline"/>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20">
      <w:pPr>
        <w:spacing w:before="240" w:lineRule="auto"/>
        <w:rPr>
          <w:sz w:val="16"/>
          <w:szCs w:val="16"/>
          <w:vertAlign w:val="baseline"/>
        </w:rPr>
      </w:pPr>
      <w:r w:rsidDel="00000000" w:rsidR="00000000" w:rsidRPr="00000000">
        <w:rPr>
          <w:rFonts w:ascii="Trebuchet MS" w:cs="Trebuchet MS" w:eastAsia="Trebuchet MS" w:hAnsi="Trebuchet MS"/>
          <w:sz w:val="20"/>
          <w:szCs w:val="20"/>
          <w:vertAlign w:val="baseline"/>
          <w:rtl w:val="0"/>
        </w:rPr>
        <w:t xml:space="preserve">Written in accordance with the </w:t>
      </w:r>
      <w:r w:rsidDel="00000000" w:rsidR="00000000" w:rsidRPr="00000000">
        <w:rPr>
          <w:rFonts w:ascii="Trebuchet MS" w:cs="Trebuchet MS" w:eastAsia="Trebuchet MS" w:hAnsi="Trebuchet MS"/>
          <w:i w:val="1"/>
          <w:sz w:val="20"/>
          <w:szCs w:val="20"/>
          <w:vertAlign w:val="baseline"/>
          <w:rtl w:val="0"/>
        </w:rPr>
        <w:t xml:space="preserve">Statutory Framework for the Early Years Foundation Stage (2017): Safeguarding and Welfare Requirements: Staff Qualifications, training, support and skills [3.20]</w:t>
      </w:r>
      <w:r w:rsidDel="00000000" w:rsidR="00000000" w:rsidRPr="00000000">
        <w:rPr>
          <w:rtl w:val="0"/>
        </w:rPr>
      </w:r>
    </w:p>
    <w:sectPr>
      <w:pgSz w:h="16838" w:w="11906" w:orient="portrait"/>
      <w:pgMar w:bottom="851" w:top="851"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284" w:hanging="284"/>
      </w:pPr>
      <w:rPr>
        <w:rFonts w:ascii="Noto Sans Symbols" w:cs="Noto Sans Symbols" w:eastAsia="Noto Sans Symbols" w:hAnsi="Noto Sans Symbols"/>
        <w:sz w:val="22"/>
        <w:szCs w:val="22"/>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004" w:hanging="284"/>
      </w:pPr>
      <w:rPr>
        <w:rFonts w:ascii="Noto Sans Symbols" w:cs="Noto Sans Symbols" w:eastAsia="Noto Sans Symbols" w:hAnsi="Noto Sans Symbols"/>
        <w:sz w:val="22"/>
        <w:szCs w:val="22"/>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n-US"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US"/>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uTKGUnryDjhgVRHRARp50IyCMw==">CgMxLjA4AHIhMTV3dGJrbWFETlh5NkxnOGg5RXBiVUkzUFZJeVdQZUR5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2014-06-20T13:11:00Z</dcterms:created>
  <dc:creator>Out of School Alliance</dc:creator>
</cp:coreProperties>
</file>